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B3" w:rsidRDefault="009E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Mapping and Aligning Program Curriculum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00B3" w:rsidRDefault="009E6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Drake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00B3" w:rsidRDefault="008E00B3">
      <w:pPr>
        <w:rPr>
          <w:i/>
          <w:sz w:val="24"/>
          <w:szCs w:val="24"/>
        </w:rPr>
      </w:pPr>
      <w:bookmarkStart w:id="0" w:name="_GoBack"/>
      <w:bookmarkEnd w:id="0"/>
    </w:p>
    <w:tbl>
      <w:tblPr>
        <w:tblStyle w:val="a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555"/>
        <w:gridCol w:w="3015"/>
      </w:tblGrid>
      <w:tr w:rsidR="008E00B3">
        <w:trPr>
          <w:trHeight w:val="1380"/>
        </w:trPr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#1: Mission, Vision, and Improvement</w:t>
            </w:r>
          </w:p>
          <w:p w:rsidR="008E00B3" w:rsidRDefault="009E6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– Collaboratively design, communicate, and evaluate a district mission and vision designed to reflect a core set of values and priorities that include data use, technology, equity, diversity, digital citizenship, and community.</w:t>
            </w:r>
          </w:p>
          <w:p w:rsidR="008E00B3" w:rsidRDefault="009E6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– Lead district stra</w:t>
            </w:r>
            <w:r>
              <w:rPr>
                <w:sz w:val="16"/>
                <w:szCs w:val="16"/>
              </w:rPr>
              <w:t>tegic planning and continuous improvement processes that engage diverse stakeholders in data collection, diagnosis, design, implementation, and evaluation.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7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strategic action plans/goal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engagement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publications/newsletters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professional balance discussed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plan shared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285-Ethics and Social Justice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rights complaints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Segregation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Underserved population data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FAPE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interviews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Data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286-Systems Thinking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review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review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PDSA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Case Study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Self-Assessment Using Baldridge Model</w:t>
            </w:r>
          </w:p>
        </w:tc>
      </w:tr>
      <w:tr w:rsidR="008E00B3">
        <w:trPr>
          <w:trHeight w:val="194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#2: Ethics and Professional Norms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– Reflect on, communicate about, and cultivate professional dispositions and norms (i.e., equity, fairness, integrity, transparency, trust, collaboration, perseverance, reflection, lifelong learning, digital citizenship) and professional district and s</w:t>
            </w:r>
            <w:r>
              <w:rPr>
                <w:sz w:val="20"/>
                <w:szCs w:val="20"/>
              </w:rPr>
              <w:t>chool culture.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– Evaluate and advocate for ethical and legal decisions.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– Model ethical behavior in their personal conduct and relationships and to cultivate ethical behavior in others.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strategies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management techniques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board policies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leadership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2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EDL 289-Organization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Pre-service planning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packet development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overview/review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 communication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advocacy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290-School Resource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Spending authority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 audit report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controls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item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activities</w:t>
            </w:r>
          </w:p>
        </w:tc>
      </w:tr>
      <w:tr w:rsidR="008E00B3">
        <w:trPr>
          <w:trHeight w:val="1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291-Policy, Influence and Legal Issues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FERPA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 procedures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field trips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meeting laws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laws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practices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law test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Simulations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School Board Meeting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Qstream</w:t>
            </w:r>
          </w:p>
        </w:tc>
      </w:tr>
      <w:tr w:rsidR="008E00B3">
        <w:trPr>
          <w:trHeight w:val="216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#3: Equity, Inclusiveness, and Cultural Responsiveness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– Evaluate, cultivate, and advocate for a supportive and inclusive district culture.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– Evaluate, cultivate, and advocate for equitable access to safe and nurturing schools and the opportun</w:t>
            </w:r>
            <w:r>
              <w:rPr>
                <w:sz w:val="20"/>
                <w:szCs w:val="20"/>
              </w:rPr>
              <w:t>ities and resources, including instructional materials, technologies, classrooms, teachers, interventions, and adult relationships, necessary to support the success and well-being of each student.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– Evaluate, advocate, and cultivate equitable, inclusiv</w:t>
            </w:r>
            <w:r>
              <w:rPr>
                <w:sz w:val="20"/>
                <w:szCs w:val="20"/>
              </w:rPr>
              <w:t>e, and culturally responsive instructional and behavior support practices among teachers and staff.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demographics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student participation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staffing ratios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supports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MTSS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plan/goals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2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284-Data Analytics in Education Research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strategies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</w:t>
            </w:r>
            <w:r>
              <w:rPr>
                <w:sz w:val="20"/>
                <w:szCs w:val="20"/>
              </w:rPr>
              <w:t>ve communication strategies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School Report Card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Study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Reflections</w:t>
            </w:r>
          </w:p>
        </w:tc>
      </w:tr>
      <w:tr w:rsidR="008E00B3">
        <w:trPr>
          <w:trHeight w:val="12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285-Ethics and Social Justice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school culture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Youth Survey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demographics of student-athletes and clubs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student participation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interviews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Data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8E00B3">
        <w:trPr>
          <w:trHeight w:val="17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EDL 287-Curriculum and Evaluation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Advisory Committee (SIAC)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visit process &amp; preparation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Standardized testing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renewal cycle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reporting (CSIP, BEDS, Etc.)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Summary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Design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Research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Jigsaw</w:t>
            </w:r>
          </w:p>
        </w:tc>
      </w:tr>
      <w:tr w:rsidR="008E00B3">
        <w:trPr>
          <w:trHeight w:val="12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288-Human Resource Dynamics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staffing ratios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Recruiting diverse candidates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processes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goal setting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Handbook Audit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presentations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Chapter Summary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290-School Resource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annual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&amp; donations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</w:t>
            </w:r>
            <w:r>
              <w:rPr>
                <w:sz w:val="20"/>
                <w:szCs w:val="20"/>
              </w:rPr>
              <w:t>ce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item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activities</w:t>
            </w:r>
          </w:p>
        </w:tc>
      </w:tr>
      <w:tr w:rsidR="008E00B3">
        <w:trPr>
          <w:trHeight w:val="324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#4: Learning and Instruction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– Evaluate, design, and implement high-quality curricula, the use of technology, and other services and supports for academic and non-academic student programs.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– Collaboratively evaluate, design, and cultivate coherent systems of support, coaching, and professional development for educators, educational professionals, and school and district leaders, including themselves, that promote reflection, digital lite</w:t>
            </w:r>
            <w:r>
              <w:rPr>
                <w:sz w:val="20"/>
                <w:szCs w:val="20"/>
              </w:rPr>
              <w:t>racy, distributed leadership, data literacy, equity, improvement, and student success.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– Design, implement, and evaluate a developmentally appropriate, accessible, and culturally responsive system of assessments and data collection, management, and ana</w:t>
            </w:r>
            <w:r>
              <w:rPr>
                <w:sz w:val="20"/>
                <w:szCs w:val="20"/>
              </w:rPr>
              <w:t>lysis that support instructional improvement, equity, student learning and well-being, and instructional leadership.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– Design, implement, and evaluate district-wide use of coherent systems of curriculum, instruction, assessment, student services,  tech</w:t>
            </w:r>
            <w:r>
              <w:rPr>
                <w:sz w:val="20"/>
                <w:szCs w:val="20"/>
              </w:rPr>
              <w:t>nology, and instructional resources that support the needs of each student in the district.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strategic action plans/goal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learner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networking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administrators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284-Data Analytics in Education Research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strategies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communication strategies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School Report Card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Study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Reflections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EDL 285-Ethics and Social Justice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MTSS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data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engagement data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engagement data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interviews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Data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8E00B3">
        <w:trPr>
          <w:trHeight w:val="12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286-Systems Thinking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PDSA Model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models/frameworks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 process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PDSA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Case Study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Self-Assessment Using Baldridge Model</w:t>
            </w:r>
          </w:p>
        </w:tc>
      </w:tr>
      <w:tr w:rsidR="008E00B3">
        <w:trPr>
          <w:trHeight w:val="174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287-Curriculum and Evaluation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Review Cycle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evaluation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review cycle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TLC coaching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Standardized testing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Summary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Design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Research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Jigsaw</w:t>
            </w:r>
          </w:p>
        </w:tc>
      </w:tr>
      <w:tr w:rsidR="008E00B3">
        <w:trPr>
          <w:trHeight w:val="260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#5: Community and External Leadership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– Represent and support district schools in engaging diverse families in strengthening student learning in and out of school.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– Understand, engage, and effectively collaborative and communicate with, throu</w:t>
            </w:r>
            <w:r>
              <w:rPr>
                <w:sz w:val="20"/>
                <w:szCs w:val="20"/>
              </w:rPr>
              <w:t>gh oral, written, and digital means, diverse families, community members, partners, and other constituencies to benefit learners, schools, and the district as a whole.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– Communicate through oral, written, and digital means within the larger organizatio</w:t>
            </w:r>
            <w:r>
              <w:rPr>
                <w:sz w:val="20"/>
                <w:szCs w:val="20"/>
              </w:rPr>
              <w:t>nal, community, and political contexts and cultivate relationships with members of the business, civic, and policy community in support of their advocacy for district, school, student, and community needs.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engagement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publications/newsletters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plan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285-Ethics and Social Justice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engagement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SIAC committee diversity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policy for inclusivity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interviews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8E00B3">
        <w:trPr>
          <w:trHeight w:val="174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EDL 289-Organization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publications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 reports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 minutes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website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advocacy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Calendar development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Board member communication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Board Member Orientation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Management Resource Guide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290-School Resource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resources around goal areas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more resources on equity gaps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item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activities</w:t>
            </w:r>
          </w:p>
        </w:tc>
      </w:tr>
      <w:tr w:rsidR="008E00B3">
        <w:trPr>
          <w:trHeight w:val="238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#6: Operations and Management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– Develop, communicate, implement, and evaluate data-informed and equitable management, communication, technology, governance, and operation systems at the district level to support schools in realizing the district’s mission and vision.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– Develop,</w:t>
            </w:r>
            <w:r>
              <w:rPr>
                <w:sz w:val="20"/>
                <w:szCs w:val="20"/>
              </w:rPr>
              <w:t xml:space="preserve"> communicate, implement, and evaluate a data-based district resourcing plan and support schools in developing their school-level resourcing plans.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– Develop, implement, and evaluate coordinated, data-informed systems for hiring, retaining, supervising,</w:t>
            </w:r>
            <w:r>
              <w:rPr>
                <w:sz w:val="20"/>
                <w:szCs w:val="20"/>
              </w:rPr>
              <w:t xml:space="preserve"> and developing school and district staff in order to support the district’s collective instructional and leadership capacity.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0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286-Systems Thinking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 cycle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Data-informed decision-making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practices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PDSA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Case Study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Self-Assessment Using Baldridge Model</w:t>
            </w:r>
          </w:p>
        </w:tc>
      </w:tr>
      <w:tr w:rsidR="008E00B3">
        <w:trPr>
          <w:trHeight w:val="17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288-Human Resource Dynamics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handbook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board member orientation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staff orientatio</w:t>
            </w:r>
            <w:r>
              <w:rPr>
                <w:sz w:val="20"/>
                <w:szCs w:val="20"/>
              </w:rPr>
              <w:t>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contract negotiations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evaluation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evaluations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law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Handbook Audit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presentations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Chapter Summary</w:t>
            </w:r>
          </w:p>
        </w:tc>
      </w:tr>
      <w:tr w:rsidR="008E00B3">
        <w:trPr>
          <w:trHeight w:val="17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289-Organization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safety plans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service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reporting (CSIP, BEDS, Etc.)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development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use agreements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review process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Board Member Orientation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Management Resource Guide</w:t>
            </w:r>
          </w:p>
        </w:tc>
      </w:tr>
      <w:tr w:rsidR="008E00B3">
        <w:trPr>
          <w:trHeight w:val="20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EDL 290-School Resource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audit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forecasting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Negotiations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management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Certified annual budget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 education budget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Grants &amp; donations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item budget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activities</w:t>
            </w:r>
          </w:p>
        </w:tc>
      </w:tr>
      <w:tr w:rsidR="008E00B3">
        <w:trPr>
          <w:trHeight w:val="2820"/>
        </w:trPr>
        <w:tc>
          <w:tcPr>
            <w:tcW w:w="9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NELP #7: Building Professional Capacity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– Represent the district, advocate for district needs, and cultivate a respectful and responsive relationship with the district’s board of education focused on achieving the district’s shared mission and vision.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– Design, implement, cultivate, and </w:t>
            </w:r>
            <w:r>
              <w:rPr>
                <w:sz w:val="20"/>
                <w:szCs w:val="20"/>
              </w:rPr>
              <w:t>evaluate effective and collaborative systems for district governance that engage multiple and diverse stakeholder groups, including school and district personnel, families, community stakeholders, and board members.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– Evaluate, engage in decision makin</w:t>
            </w:r>
            <w:r>
              <w:rPr>
                <w:sz w:val="20"/>
                <w:szCs w:val="20"/>
              </w:rPr>
              <w:t>g around, implement, and appropriately communicate about district, state, and national policy, laws, rules, and regulations.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– Evaluate and represent district needs and priorities within larger policy conversations and advocate for district needs and p</w:t>
            </w:r>
            <w:r>
              <w:rPr>
                <w:sz w:val="20"/>
                <w:szCs w:val="20"/>
              </w:rPr>
              <w:t>riorities at the local, state, and national level.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00B3">
        <w:trPr>
          <w:trHeight w:val="6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Courses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Related Clinical Experiences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Candidate/Program Assessments</w:t>
            </w:r>
          </w:p>
        </w:tc>
      </w:tr>
      <w:tr w:rsidR="008E00B3">
        <w:trPr>
          <w:trHeight w:val="13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283-Leading Complex Organizations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board agendas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publications/newsletters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 plan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plan</w:t>
            </w:r>
          </w:p>
          <w:p w:rsidR="008E00B3" w:rsidRDefault="009E6377">
            <w:r>
              <w:t>Community events &amp; traditions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Interview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</w:t>
            </w:r>
          </w:p>
        </w:tc>
      </w:tr>
      <w:tr w:rsidR="008E00B3">
        <w:trPr>
          <w:trHeight w:val="16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285-Ethics and Social Justice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r>
              <w:t>Equity audit of new district addressed</w:t>
            </w:r>
          </w:p>
          <w:p w:rsidR="008E00B3" w:rsidRDefault="009E6377">
            <w:r>
              <w:t>Student achievement data</w:t>
            </w:r>
          </w:p>
          <w:p w:rsidR="008E00B3" w:rsidRDefault="009E6377">
            <w:r>
              <w:t>Disciplinary data by race, gender, ethnicity</w:t>
            </w:r>
          </w:p>
          <w:p w:rsidR="008E00B3" w:rsidRDefault="009E6377">
            <w:r>
              <w:t>Review of policies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interviews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paper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Data Project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Equity Data Project Presentation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8E00B3">
        <w:trPr>
          <w:trHeight w:val="26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288-Human Resources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Protocols for hiring and dismissal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bargaining timeline and process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files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contract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Protocols for employee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investigation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the media/social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Succession Planning for key positions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 Handbook Audit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presentations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Chapter Summary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Succession Planning program development</w:t>
            </w:r>
          </w:p>
        </w:tc>
      </w:tr>
      <w:tr w:rsidR="008E00B3">
        <w:trPr>
          <w:trHeight w:val="19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289-Organization Management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job descriptions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goals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plan development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process for applicants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Grievance procedures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Facilities use agreements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District field trips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Policy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Board Member Orientation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Management Resource Guide</w:t>
            </w:r>
          </w:p>
        </w:tc>
      </w:tr>
      <w:tr w:rsidR="008E00B3">
        <w:trPr>
          <w:trHeight w:val="15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291-Policy, Influence and Legal Issues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r>
              <w:t>Critical Filing Dates</w:t>
            </w:r>
          </w:p>
          <w:p w:rsidR="008E00B3" w:rsidRDefault="009E6377">
            <w:r>
              <w:t>DE state reporting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contract review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incentives, promotion</w:t>
            </w:r>
          </w:p>
          <w:p w:rsidR="008E00B3" w:rsidRDefault="009E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Staff handbook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handbook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</w:t>
            </w:r>
            <w:r>
              <w:rPr>
                <w:sz w:val="20"/>
                <w:szCs w:val="20"/>
              </w:rPr>
              <w:t>l law test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Simulations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School Board Meeting</w:t>
            </w:r>
          </w:p>
          <w:p w:rsidR="008E00B3" w:rsidRDefault="009E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Qstream</w:t>
            </w:r>
          </w:p>
        </w:tc>
      </w:tr>
    </w:tbl>
    <w:p w:rsidR="008E00B3" w:rsidRDefault="009E63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00B3" w:rsidRDefault="009E63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00B3" w:rsidRDefault="009E6377">
      <w:r>
        <w:t xml:space="preserve"> </w:t>
      </w:r>
    </w:p>
    <w:p w:rsidR="008E00B3" w:rsidRDefault="008E00B3"/>
    <w:sectPr w:rsidR="008E00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B3"/>
    <w:rsid w:val="008E00B3"/>
    <w:rsid w:val="009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1B0F"/>
  <w15:docId w15:val="{C6B016E7-6A93-D04A-95F8-AAACA3C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 Grundmeyer</cp:lastModifiedBy>
  <cp:revision>2</cp:revision>
  <dcterms:created xsi:type="dcterms:W3CDTF">2020-05-17T14:28:00Z</dcterms:created>
  <dcterms:modified xsi:type="dcterms:W3CDTF">2020-05-17T14:28:00Z</dcterms:modified>
</cp:coreProperties>
</file>